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b/>
          <w:bCs/>
          <w:color w:val="2F4858"/>
          <w:sz w:val="34"/>
          <w:szCs w:val="34"/>
        </w:rPr>
        <w:t xml:space="preserve">Finance Salary Guide 2026 — South Africa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A06F2C" w:sz="4"/>
              <w:left w:val="single" w:color="A06F2C" w:sz="16"/>
              <w:bottom w:val="single" w:color="A06F2C" w:sz="4"/>
              <w:right w:val="single" w:color="FBF3E7" w:sz="4"/>
            </w:tcBorders>
            <w:shd w:fill="FBF3E7" w:val="clear"/>
            <w:tcMar>
              <w:top w:type="dxa" w:w="180"/>
              <w:left w:type="dxa" w:w="220"/>
              <w:bottom w:type="dxa" w:w="180"/>
              <w:right w:type="dxa" w:w="220"/>
            </w:tcMar>
          </w:tcPr>
          <w:p>
            <w:pPr>
              <w:spacing w:after="40"/>
            </w:pPr>
            <w:r>
              <w:rPr>
                <w:b/>
                <w:bCs/>
                <w:caps/>
                <w:color w:val="A06F2C"/>
                <w:sz w:val="18"/>
                <w:szCs w:val="18"/>
              </w:rPr>
              <w:t xml:space="preserve">A NOTE ON THESE FIGURES</w:t>
            </w:r>
          </w:p>
          <w:p>
            <w:r>
              <w:rPr>
                <w:color w:val="1C2321"/>
                <w:sz w:val="20"/>
                <w:szCs w:val="20"/>
              </w:rPr>
              <w:t xml:space="preserve">These figures are indicative market ranges only, compiled from multiple third-party salary survey sources current as of 2026. They are not a guarantee, valuation, or offer, and should not be relied on as the sole basis for a compensation decision. Actual pay varies significantly by company size, industry, location, benefits structure, and the individual candidate — different survey sources for the same role in this guide varied by as much as 40-50%, which reflects genuine market variation, not an error. Use these ranges as a starting point for discussion, and speak to a consultant for a benchmark specific to your actual vacancy or offer.</w:t>
            </w:r>
          </w:p>
        </w:tc>
      </w:tr>
    </w:tbl>
    <w:p>
      <w:pPr>
        <w:spacing w:after="200" w:before="260"/>
      </w:pPr>
    </w:p>
    <w:p>
      <w:pPr>
        <w:spacing w:after="200"/>
      </w:pPr>
      <w:r>
        <w:rPr>
          <w:sz w:val="22"/>
          <w:szCs w:val="22"/>
        </w:rPr>
        <w:t xml:space="preserve">The ranges below cover the typical in-house finance career path in South Africa, from bookkeeper through to CFO. They're compiled from multiple published 2026 salary survey sources — where sources disagreed meaningfully, we've used the wider range rather than picking a single number, since that disagreement itself is real information about how much company size, industry, and location affect what a role actually pays.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2600"/>
        <w:gridCol w:w="3360"/>
      </w:tblGrid>
      <w:tr>
        <w:trPr>
          <w:tblHeader/>
        </w:trPr>
        <w:tc>
          <w:tcPr>
            <w:tcW w:type="dxa" w:w="3400"/>
            <w:shd w:fill="2F4858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r>
              <w:rPr>
                <w:b/>
                <w:bCs/>
                <w:caps/>
                <w:color w:val="FFFFFF"/>
                <w:sz w:val="18"/>
                <w:szCs w:val="18"/>
              </w:rPr>
              <w:t xml:space="preserve">Role</w:t>
            </w:r>
          </w:p>
        </w:tc>
        <w:tc>
          <w:tcPr>
            <w:tcW w:type="dxa" w:w="2600"/>
            <w:shd w:fill="2F4858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r>
              <w:rPr>
                <w:b/>
                <w:bCs/>
                <w:caps/>
                <w:color w:val="FFFFFF"/>
                <w:sz w:val="18"/>
                <w:szCs w:val="18"/>
              </w:rPr>
              <w:t xml:space="preserve">Typical Range (ZAR/yr)</w:t>
            </w:r>
          </w:p>
        </w:tc>
        <w:tc>
          <w:tcPr>
            <w:tcW w:type="dxa" w:w="3360"/>
            <w:shd w:fill="2F4858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r>
              <w:rPr>
                <w:b/>
                <w:bCs/>
                <w:caps/>
                <w:color w:val="FFFFFF"/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dxa" w:w="3400"/>
            <w:shd w:fill="F6F7F2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r>
              <w:rPr>
                <w:b/>
                <w:bCs/>
                <w:color w:val="2F4858"/>
                <w:sz w:val="20"/>
                <w:szCs w:val="20"/>
              </w:rPr>
              <w:t xml:space="preserve">Bookkeeper</w:t>
            </w:r>
          </w:p>
        </w:tc>
        <w:tc>
          <w:tcPr>
            <w:tcW w:type="dxa" w:w="2600"/>
            <w:shd w:fill="F6F7F2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r>
              <w:rPr>
                <w:sz w:val="20"/>
                <w:szCs w:val="20"/>
              </w:rPr>
              <w:t xml:space="preserve">R204,000 – R306,000</w:t>
            </w:r>
          </w:p>
        </w:tc>
        <w:tc>
          <w:tcPr>
            <w:tcW w:type="dxa" w:w="3360"/>
            <w:shd w:fill="F6F7F2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r>
              <w:rPr>
                <w:i/>
                <w:iCs/>
                <w:color w:val="6B7280"/>
                <w:sz w:val="18"/>
                <w:szCs w:val="18"/>
              </w:rPr>
              <w:t xml:space="preserve">Entry (1–3 yrs) to senior (8+ yrs)</w:t>
            </w:r>
          </w:p>
        </w:tc>
      </w:tr>
      <w:tr>
        <w:tc>
          <w:tcPr>
            <w:tcW w:type="dxa" w:w="3400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r>
              <w:rPr>
                <w:b/>
                <w:bCs/>
                <w:color w:val="2F4858"/>
                <w:sz w:val="20"/>
                <w:szCs w:val="20"/>
              </w:rPr>
              <w:t xml:space="preserve">Junior / Trainee Accountant</w:t>
            </w:r>
          </w:p>
        </w:tc>
        <w:tc>
          <w:tcPr>
            <w:tcW w:type="dxa" w:w="2600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r>
              <w:rPr>
                <w:sz w:val="20"/>
                <w:szCs w:val="20"/>
              </w:rPr>
              <w:t xml:space="preserve">R250,000 – R420,000</w:t>
            </w:r>
          </w:p>
        </w:tc>
        <w:tc>
          <w:tcPr>
            <w:tcW w:type="dxa" w:w="3360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r>
              <w:rPr>
                <w:i/>
                <w:iCs/>
                <w:color w:val="6B7280"/>
                <w:sz w:val="18"/>
                <w:szCs w:val="18"/>
              </w:rPr>
              <w:t xml:space="preserve">Varies widely pre- vs post-articles</w:t>
            </w:r>
          </w:p>
        </w:tc>
      </w:tr>
      <w:tr>
        <w:tc>
          <w:tcPr>
            <w:tcW w:type="dxa" w:w="3400"/>
            <w:shd w:fill="F6F7F2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r>
              <w:rPr>
                <w:b/>
                <w:bCs/>
                <w:color w:val="2F4858"/>
                <w:sz w:val="20"/>
                <w:szCs w:val="20"/>
              </w:rPr>
              <w:t xml:space="preserve">Financial Accountant</w:t>
            </w:r>
          </w:p>
        </w:tc>
        <w:tc>
          <w:tcPr>
            <w:tcW w:type="dxa" w:w="2600"/>
            <w:shd w:fill="F6F7F2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r>
              <w:rPr>
                <w:sz w:val="20"/>
                <w:szCs w:val="20"/>
              </w:rPr>
              <w:t xml:space="preserve">R417,000 – R731,000</w:t>
            </w:r>
          </w:p>
        </w:tc>
        <w:tc>
          <w:tcPr>
            <w:tcW w:type="dxa" w:w="3360"/>
            <w:shd w:fill="F6F7F2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r>
              <w:rPr>
                <w:i/>
                <w:iCs/>
                <w:color w:val="6B7280"/>
                <w:sz w:val="18"/>
                <w:szCs w:val="18"/>
              </w:rPr>
              <w:t xml:space="preserve">Entry to senior, in-house</w:t>
            </w:r>
          </w:p>
        </w:tc>
      </w:tr>
      <w:tr>
        <w:tc>
          <w:tcPr>
            <w:tcW w:type="dxa" w:w="3400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r>
              <w:rPr>
                <w:b/>
                <w:bCs/>
                <w:color w:val="2F4858"/>
                <w:sz w:val="20"/>
                <w:szCs w:val="20"/>
              </w:rPr>
              <w:t xml:space="preserve">Management Accountant</w:t>
            </w:r>
          </w:p>
        </w:tc>
        <w:tc>
          <w:tcPr>
            <w:tcW w:type="dxa" w:w="2600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r>
              <w:rPr>
                <w:sz w:val="20"/>
                <w:szCs w:val="20"/>
              </w:rPr>
              <w:t xml:space="preserve">R550,000 – R750,000</w:t>
            </w:r>
          </w:p>
        </w:tc>
        <w:tc>
          <w:tcPr>
            <w:tcW w:type="dxa" w:w="3360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r>
              <w:rPr>
                <w:i/>
                <w:iCs/>
                <w:color w:val="6B7280"/>
                <w:sz w:val="18"/>
                <w:szCs w:val="18"/>
              </w:rPr>
              <w:t xml:space="preserve">Typical band around 2026 average</w:t>
            </w:r>
          </w:p>
        </w:tc>
      </w:tr>
      <w:tr>
        <w:tc>
          <w:tcPr>
            <w:tcW w:type="dxa" w:w="3400"/>
            <w:shd w:fill="F6F7F2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r>
              <w:rPr>
                <w:b/>
                <w:bCs/>
                <w:color w:val="2F4858"/>
                <w:sz w:val="20"/>
                <w:szCs w:val="20"/>
              </w:rPr>
              <w:t xml:space="preserve">Financial Manager</w:t>
            </w:r>
          </w:p>
        </w:tc>
        <w:tc>
          <w:tcPr>
            <w:tcW w:type="dxa" w:w="2600"/>
            <w:shd w:fill="F6F7F2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r>
              <w:rPr>
                <w:sz w:val="20"/>
                <w:szCs w:val="20"/>
              </w:rPr>
              <w:t xml:space="preserve">R700,000 – R1,000,000</w:t>
            </w:r>
          </w:p>
        </w:tc>
        <w:tc>
          <w:tcPr>
            <w:tcW w:type="dxa" w:w="3360"/>
            <w:shd w:fill="F6F7F2" w:val="clear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r>
              <w:rPr>
                <w:i/>
                <w:iCs/>
                <w:color w:val="6B7280"/>
                <w:sz w:val="18"/>
                <w:szCs w:val="18"/>
              </w:rPr>
              <w:t xml:space="preserve">Typical band around 2026 average</w:t>
            </w:r>
          </w:p>
        </w:tc>
      </w:tr>
      <w:tr>
        <w:tc>
          <w:tcPr>
            <w:tcW w:type="dxa" w:w="3400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r>
              <w:rPr>
                <w:b/>
                <w:bCs/>
                <w:color w:val="2F4858"/>
                <w:sz w:val="20"/>
                <w:szCs w:val="20"/>
              </w:rPr>
              <w:t xml:space="preserve">CFO (national average)</w:t>
            </w:r>
          </w:p>
        </w:tc>
        <w:tc>
          <w:tcPr>
            <w:tcW w:type="dxa" w:w="2600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r>
              <w:rPr>
                <w:sz w:val="20"/>
                <w:szCs w:val="20"/>
              </w:rPr>
              <w:t xml:space="preserve">R2,000,000 – R2,700,000</w:t>
            </w:r>
          </w:p>
        </w:tc>
        <w:tc>
          <w:tcPr>
            <w:tcW w:type="dxa" w:w="3360"/>
            <w:tcMar>
              <w:top w:type="dxa" w:w="120"/>
              <w:left w:type="dxa" w:w="160"/>
              <w:bottom w:type="dxa" w:w="120"/>
              <w:right w:type="dxa" w:w="160"/>
            </w:tcMar>
            <w:vAlign w:val="center"/>
          </w:tcPr>
          <w:p>
            <w:r>
              <w:rPr>
                <w:i/>
                <w:iCs/>
                <w:color w:val="6B7280"/>
                <w:sz w:val="18"/>
                <w:szCs w:val="18"/>
              </w:rPr>
              <w:t xml:space="preserve">Rises above R3.3m in Johannesburg specifically</w:t>
            </w:r>
          </w:p>
        </w:tc>
      </w:tr>
    </w:tbl>
    <w:p>
      <w:pPr>
        <w:pStyle w:val="Heading2"/>
        <w:pBdr>
          <w:bottom w:val="single" w:color="A06F2C" w:sz="6" w:space="4"/>
        </w:pBdr>
        <w:spacing w:after="160" w:before="320"/>
      </w:pPr>
      <w:r>
        <w:rPr>
          <w:b/>
          <w:bCs/>
          <w:caps/>
          <w:color w:val="2F4858"/>
          <w:sz w:val="26"/>
          <w:szCs w:val="26"/>
        </w:rPr>
        <w:t xml:space="preserve">What Moves These Numbers</w:t>
      </w:r>
    </w:p>
    <w:p>
      <w:pPr>
        <w:pStyle w:val="ListParagraph"/>
        <w:numPr>
          <w:ilvl w:val="0"/>
          <w:numId w:val="2"/>
        </w:numPr>
        <w:spacing w:after="120"/>
      </w:pPr>
      <w:r>
        <w:rPr>
          <w:sz w:val="22"/>
          <w:szCs w:val="22"/>
        </w:rPr>
        <w:t xml:space="preserve">Qualification premium — CA(SA) holders earn meaningfully more than AGA(SA)/Professional Accountant(SA) holders at equivalent experience, who in turn earn more than part-qualified candidates in the same function. For anyone mid-qualification, this is a well-documented, direct financial return on finishing it.</w:t>
      </w:r>
    </w:p>
    <w:p>
      <w:pPr>
        <w:pStyle w:val="ListParagraph"/>
        <w:numPr>
          <w:ilvl w:val="0"/>
          <w:numId w:val="2"/>
        </w:numPr>
        <w:spacing w:after="120"/>
      </w:pPr>
      <w:r>
        <w:rPr>
          <w:sz w:val="22"/>
          <w:szCs w:val="22"/>
        </w:rPr>
        <w:t xml:space="preserve">Practice vs. commerce — accountants moving from practice (audit firms) into an in-house commercial role typically see a 20–40% salary uplift at the same seniority level. It's one of the most common career moves in South African finance, and one employers regularly use a specialist recruiter to manage well.</w:t>
      </w:r>
    </w:p>
    <w:p>
      <w:pPr>
        <w:pStyle w:val="ListParagraph"/>
        <w:numPr>
          <w:ilvl w:val="0"/>
          <w:numId w:val="2"/>
        </w:numPr>
        <w:spacing w:after="120"/>
      </w:pPr>
      <w:r>
        <w:rPr>
          <w:sz w:val="22"/>
          <w:szCs w:val="22"/>
        </w:rPr>
        <w:t xml:space="preserve">Location — Johannesburg consistently commands a premium over the national average, most visibly at senior level (CFO pay is roughly 25–30% higher in Johannesburg than the national figure).</w:t>
      </w:r>
    </w:p>
    <w:p>
      <w:pPr>
        <w:pStyle w:val="ListParagraph"/>
        <w:numPr>
          <w:ilvl w:val="0"/>
          <w:numId w:val="2"/>
        </w:numPr>
        <w:spacing w:after="120"/>
      </w:pPr>
      <w:r>
        <w:rPr>
          <w:sz w:val="22"/>
          <w:szCs w:val="22"/>
        </w:rPr>
        <w:t xml:space="preserve">Company size and industry — a Financial Manager at a JSE-listed corporate and a Financial Manager at a mid-sized owner-run business are not really the same market, even with an identical job title.</w:t>
      </w:r>
    </w:p>
    <w:p>
      <w:pPr>
        <w:pStyle w:val="Heading2"/>
        <w:pBdr>
          <w:bottom w:val="single" w:color="A06F2C" w:sz="6" w:space="4"/>
        </w:pBdr>
        <w:spacing w:after="160" w:before="320"/>
      </w:pPr>
      <w:r>
        <w:rPr>
          <w:b/>
          <w:bCs/>
          <w:caps/>
          <w:color w:val="2F4858"/>
          <w:sz w:val="26"/>
          <w:szCs w:val="26"/>
        </w:rPr>
        <w:t xml:space="preserve">Using This Guide</w:t>
      </w:r>
    </w:p>
    <w:p>
      <w:pPr>
        <w:spacing w:after="200"/>
      </w:pPr>
      <w:r>
        <w:rPr>
          <w:sz w:val="22"/>
          <w:szCs w:val="22"/>
        </w:rPr>
        <w:t xml:space="preserve">Treat these ranges as a starting point for a conversation, not a final number. If you're an employer setting a budget for a new role, or a candidate evaluating an offer, the figures that actually matter are for your specific role, seniority, industry, and location — which is exactly the kind of benchmark a specialist recruiter can give you directly, based on what's actually closing in the market right now rather than a published survey average.</w:t>
      </w:r>
    </w:p>
    <w:p>
      <w:pPr>
        <w:spacing w:after="200"/>
      </w:pPr>
      <w:r>
        <w:rPr>
          <w:sz w:val="22"/>
          <w:szCs w:val="22"/>
        </w:rPr>
        <w:t xml:space="preserve">If you'd like a realistic benchmark for a specific role you're hiring for — or considering moving into — we're happy to have a no-obligation conversation.</w:t>
      </w:r>
    </w:p>
    <w:p>
      <w:pPr>
        <w:pBdr>
          <w:top w:val="single" w:color="C7CAC2" w:sz="4" w:space="8"/>
        </w:pBdr>
        <w:spacing w:before="300"/>
      </w:pPr>
      <w:r>
        <w:rPr>
          <w:i/>
          <w:iCs/>
          <w:color w:val="6B7280"/>
          <w:sz w:val="18"/>
          <w:szCs w:val="18"/>
        </w:rPr>
        <w:t xml:space="preserve">PMG Recruitment Services specialises in engineering, manufacturing, finance, and executive search recruitment across South Africa. Figures in this guide are indicative only — see disclaimer above.</w:t>
      </w:r>
    </w:p>
    <w:sectPr>
      <w:pgSz w:w="12240" w:h="15840" w:orient="portrait"/>
      <w:pgMar w:top="1080" w:right="1200" w:bottom="1080" w:left="12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03" w:hanging="259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2026-08-08T12:33:40.996Z</dcterms:created>
  <dcterms:modified xsi:type="dcterms:W3CDTF">2026-08-08T12:33:40.996Z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